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E521" w14:textId="77777777" w:rsidR="00654EBC" w:rsidRDefault="00654EBC" w:rsidP="00654EBC">
      <w:pPr>
        <w:pStyle w:val="Heading1"/>
        <w:numPr>
          <w:ilvl w:val="0"/>
          <w:numId w:val="0"/>
        </w:numPr>
        <w:jc w:val="center"/>
        <w:rPr>
          <w:rFonts w:asciiTheme="minorHAnsi" w:hAnsiTheme="minorHAnsi" w:cstheme="minorHAnsi"/>
          <w:b/>
        </w:rPr>
      </w:pPr>
      <w:bookmarkStart w:id="0" w:name="_Toc6408880"/>
    </w:p>
    <w:p w14:paraId="1B7CDC1C" w14:textId="77777777" w:rsidR="00654EBC" w:rsidRDefault="00654EBC" w:rsidP="00654EBC">
      <w:pPr>
        <w:pStyle w:val="Heading1"/>
        <w:numPr>
          <w:ilvl w:val="0"/>
          <w:numId w:val="0"/>
        </w:numPr>
        <w:jc w:val="center"/>
        <w:rPr>
          <w:rFonts w:asciiTheme="minorHAnsi" w:hAnsiTheme="minorHAnsi" w:cstheme="minorHAnsi"/>
          <w:b/>
        </w:rPr>
      </w:pPr>
    </w:p>
    <w:p w14:paraId="2138C9AD" w14:textId="331DDB8F" w:rsidR="00654EBC" w:rsidRDefault="00654EBC" w:rsidP="00654EBC">
      <w:pPr>
        <w:pStyle w:val="Heading1"/>
        <w:numPr>
          <w:ilvl w:val="0"/>
          <w:numId w:val="0"/>
        </w:numPr>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59264" behindDoc="0" locked="0" layoutInCell="1" allowOverlap="1" wp14:anchorId="2D619A82" wp14:editId="14714352">
            <wp:simplePos x="0" y="0"/>
            <wp:positionH relativeFrom="column">
              <wp:posOffset>688340</wp:posOffset>
            </wp:positionH>
            <wp:positionV relativeFrom="paragraph">
              <wp:posOffset>12700</wp:posOffset>
            </wp:positionV>
            <wp:extent cx="592455" cy="592455"/>
            <wp:effectExtent l="0" t="0" r="0" b="0"/>
            <wp:wrapNone/>
            <wp:docPr id="305"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2455" cy="592455"/>
                    </a:xfrm>
                    <a:prstGeom prst="rect">
                      <a:avLst/>
                    </a:prstGeom>
                  </pic:spPr>
                </pic:pic>
              </a:graphicData>
            </a:graphic>
          </wp:anchor>
        </w:drawing>
      </w:r>
      <w:r>
        <w:rPr>
          <w:rFonts w:asciiTheme="minorHAnsi" w:hAnsiTheme="minorHAnsi" w:cstheme="minorHAnsi"/>
          <w:b/>
        </w:rPr>
        <w:t>2.</w:t>
      </w:r>
      <w:bookmarkStart w:id="1" w:name="_GoBack"/>
      <w:r>
        <w:rPr>
          <w:rFonts w:asciiTheme="minorHAnsi" w:hAnsiTheme="minorHAnsi" w:cstheme="minorHAnsi"/>
          <w:b/>
        </w:rPr>
        <w:t xml:space="preserve"> </w:t>
      </w:r>
      <w:r w:rsidRPr="00C02C86">
        <w:rPr>
          <w:rFonts w:asciiTheme="minorHAnsi" w:hAnsiTheme="minorHAnsi" w:cstheme="minorHAnsi"/>
          <w:b/>
        </w:rPr>
        <w:t>NLG – Tip Sheet for Getting Started</w:t>
      </w:r>
      <w:bookmarkEnd w:id="0"/>
      <w:bookmarkEnd w:id="1"/>
    </w:p>
    <w:p w14:paraId="1A9DBA02" w14:textId="77777777" w:rsidR="00654EBC" w:rsidRPr="00A7076B" w:rsidRDefault="00654EBC" w:rsidP="00654EBC"/>
    <w:p w14:paraId="2FF58F22" w14:textId="77777777" w:rsidR="00654EBC" w:rsidRPr="004C24A5" w:rsidRDefault="00654EBC" w:rsidP="00654EBC">
      <w:pPr>
        <w:spacing w:after="0" w:line="240" w:lineRule="auto"/>
        <w:ind w:left="2160" w:firstLine="720"/>
        <w:rPr>
          <w:rFonts w:cstheme="minorHAnsi"/>
          <w:b/>
          <w:color w:val="1F3864" w:themeColor="accent1" w:themeShade="80"/>
          <w:sz w:val="20"/>
          <w:szCs w:val="36"/>
        </w:rPr>
      </w:pPr>
    </w:p>
    <w:tbl>
      <w:tblPr>
        <w:tblStyle w:val="TableGrid"/>
        <w:tblW w:w="0" w:type="auto"/>
        <w:tblLook w:val="04A0" w:firstRow="1" w:lastRow="0" w:firstColumn="1" w:lastColumn="0" w:noHBand="0" w:noVBand="1"/>
      </w:tblPr>
      <w:tblGrid>
        <w:gridCol w:w="2245"/>
        <w:gridCol w:w="7393"/>
      </w:tblGrid>
      <w:tr w:rsidR="00654EBC" w14:paraId="09D4DE4E" w14:textId="77777777" w:rsidTr="001B75FD">
        <w:tc>
          <w:tcPr>
            <w:tcW w:w="2245" w:type="dxa"/>
          </w:tcPr>
          <w:p w14:paraId="7A80CBDD" w14:textId="77777777" w:rsidR="00654EBC" w:rsidRPr="00C805A3" w:rsidRDefault="00654EBC" w:rsidP="001B75FD">
            <w:pPr>
              <w:rPr>
                <w:b/>
                <w:i/>
                <w:color w:val="1F3864" w:themeColor="accent1" w:themeShade="80"/>
              </w:rPr>
            </w:pPr>
            <w:r w:rsidRPr="00C805A3">
              <w:rPr>
                <w:b/>
                <w:i/>
                <w:color w:val="1F3864" w:themeColor="accent1" w:themeShade="80"/>
              </w:rPr>
              <w:t>Item</w:t>
            </w:r>
          </w:p>
        </w:tc>
        <w:tc>
          <w:tcPr>
            <w:tcW w:w="7393" w:type="dxa"/>
          </w:tcPr>
          <w:p w14:paraId="3A19C62F" w14:textId="77777777" w:rsidR="00654EBC" w:rsidRPr="00C805A3" w:rsidRDefault="00654EBC" w:rsidP="001B75FD">
            <w:pPr>
              <w:rPr>
                <w:b/>
                <w:i/>
                <w:color w:val="1F3864" w:themeColor="accent1" w:themeShade="80"/>
              </w:rPr>
            </w:pPr>
            <w:r w:rsidRPr="00C805A3">
              <w:rPr>
                <w:b/>
                <w:i/>
                <w:color w:val="1F3864" w:themeColor="accent1" w:themeShade="80"/>
              </w:rPr>
              <w:t>Tips</w:t>
            </w:r>
          </w:p>
        </w:tc>
      </w:tr>
      <w:tr w:rsidR="00654EBC" w14:paraId="2CDDD8BA" w14:textId="77777777" w:rsidTr="001B75FD">
        <w:tc>
          <w:tcPr>
            <w:tcW w:w="2245" w:type="dxa"/>
          </w:tcPr>
          <w:p w14:paraId="46611906" w14:textId="77777777" w:rsidR="00654EBC" w:rsidRPr="00C805A3" w:rsidRDefault="00654EBC" w:rsidP="001B75FD">
            <w:pPr>
              <w:rPr>
                <w:rFonts w:cstheme="minorHAnsi"/>
                <w:b/>
                <w:i/>
                <w:color w:val="1F3864" w:themeColor="accent1" w:themeShade="80"/>
                <w:sz w:val="22"/>
                <w:szCs w:val="22"/>
              </w:rPr>
            </w:pPr>
            <w:r w:rsidRPr="00C805A3">
              <w:rPr>
                <w:rFonts w:cstheme="minorHAnsi"/>
                <w:b/>
                <w:i/>
                <w:color w:val="1F3864" w:themeColor="accent1" w:themeShade="80"/>
                <w:sz w:val="22"/>
                <w:szCs w:val="22"/>
              </w:rPr>
              <w:t>Invitations</w:t>
            </w:r>
          </w:p>
          <w:p w14:paraId="1609C7FC" w14:textId="77777777" w:rsidR="00654EBC" w:rsidRPr="00C805A3" w:rsidRDefault="00654EBC" w:rsidP="001B75FD">
            <w:pPr>
              <w:rPr>
                <w:rFonts w:cstheme="minorHAnsi"/>
                <w:b/>
                <w:i/>
                <w:color w:val="1F3864" w:themeColor="accent1" w:themeShade="80"/>
                <w:sz w:val="22"/>
                <w:szCs w:val="22"/>
              </w:rPr>
            </w:pPr>
          </w:p>
        </w:tc>
        <w:tc>
          <w:tcPr>
            <w:tcW w:w="7393" w:type="dxa"/>
          </w:tcPr>
          <w:p w14:paraId="1049C8FF" w14:textId="77777777" w:rsidR="00654EBC" w:rsidRPr="00347164" w:rsidRDefault="00654EBC" w:rsidP="00654EBC">
            <w:pPr>
              <w:pStyle w:val="ListParagraph"/>
              <w:numPr>
                <w:ilvl w:val="0"/>
                <w:numId w:val="4"/>
              </w:numPr>
              <w:rPr>
                <w:rFonts w:cstheme="minorHAnsi"/>
                <w:color w:val="1F3864" w:themeColor="accent1" w:themeShade="80"/>
                <w:sz w:val="22"/>
                <w:szCs w:val="22"/>
              </w:rPr>
            </w:pPr>
            <w:r w:rsidRPr="00AD6BA0">
              <w:rPr>
                <w:rFonts w:cstheme="minorHAnsi"/>
                <w:color w:val="1F3864" w:themeColor="accent1" w:themeShade="80"/>
                <w:sz w:val="22"/>
                <w:szCs w:val="20"/>
              </w:rPr>
              <w:t xml:space="preserve">The organizing entity, implementing entity and funding partner can work together to identify individuals representing an array of organizations working to strengthen the social service workforce in the country, ensuring representation from government ministries, universities, professional associations, civil </w:t>
            </w:r>
            <w:r w:rsidRPr="00347164">
              <w:rPr>
                <w:rFonts w:cstheme="minorHAnsi"/>
                <w:color w:val="1F3864" w:themeColor="accent1" w:themeShade="80"/>
                <w:sz w:val="22"/>
                <w:szCs w:val="22"/>
              </w:rPr>
              <w:t xml:space="preserve">society and </w:t>
            </w:r>
            <w:proofErr w:type="spellStart"/>
            <w:proofErr w:type="gramStart"/>
            <w:r w:rsidRPr="00347164">
              <w:rPr>
                <w:rFonts w:cstheme="minorHAnsi"/>
                <w:color w:val="1F3864" w:themeColor="accent1" w:themeShade="80"/>
                <w:sz w:val="22"/>
                <w:szCs w:val="22"/>
              </w:rPr>
              <w:t>non profit</w:t>
            </w:r>
            <w:proofErr w:type="spellEnd"/>
            <w:proofErr w:type="gramEnd"/>
            <w:r w:rsidRPr="00347164">
              <w:rPr>
                <w:rFonts w:cstheme="minorHAnsi"/>
                <w:color w:val="1F3864" w:themeColor="accent1" w:themeShade="80"/>
                <w:sz w:val="22"/>
                <w:szCs w:val="22"/>
              </w:rPr>
              <w:t xml:space="preserve"> organizations, UN agencies, etc.</w:t>
            </w:r>
          </w:p>
          <w:p w14:paraId="79B085D2" w14:textId="77777777" w:rsidR="00654EBC" w:rsidRPr="00347164" w:rsidRDefault="00654EBC" w:rsidP="00654EBC">
            <w:pPr>
              <w:pStyle w:val="ListParagraph"/>
              <w:numPr>
                <w:ilvl w:val="0"/>
                <w:numId w:val="4"/>
              </w:numPr>
              <w:rPr>
                <w:rFonts w:cstheme="minorHAnsi"/>
                <w:color w:val="1F3864" w:themeColor="accent1" w:themeShade="80"/>
                <w:sz w:val="22"/>
                <w:szCs w:val="22"/>
              </w:rPr>
            </w:pPr>
            <w:r w:rsidRPr="00347164">
              <w:rPr>
                <w:rFonts w:cstheme="minorHAnsi"/>
                <w:color w:val="1F3864" w:themeColor="accent1" w:themeShade="80"/>
                <w:sz w:val="22"/>
                <w:szCs w:val="22"/>
              </w:rPr>
              <w:t xml:space="preserve">Invitations to identified individuals should be sent out by the organizing entity on official letterhead; language from the </w:t>
            </w:r>
            <w:hyperlink w:anchor="_Sample_Terms_of" w:history="1">
              <w:r w:rsidRPr="00347164">
                <w:rPr>
                  <w:rStyle w:val="Hyperlink"/>
                  <w:b/>
                  <w:i/>
                  <w:sz w:val="22"/>
                  <w:szCs w:val="22"/>
                </w:rPr>
                <w:t>NLG - Sample Terms of Reference</w:t>
              </w:r>
            </w:hyperlink>
            <w:r w:rsidRPr="00347164">
              <w:rPr>
                <w:rStyle w:val="Hyperlink"/>
                <w:b/>
                <w:i/>
                <w:sz w:val="22"/>
                <w:szCs w:val="22"/>
              </w:rPr>
              <w:t xml:space="preserve"> </w:t>
            </w:r>
            <w:r w:rsidRPr="00347164">
              <w:rPr>
                <w:rFonts w:eastAsiaTheme="minorEastAsia" w:cstheme="minorHAnsi"/>
                <w:color w:val="1F3864" w:themeColor="accent1" w:themeShade="80"/>
                <w:sz w:val="22"/>
                <w:szCs w:val="22"/>
              </w:rPr>
              <w:t xml:space="preserve"> can be used to draft the invitation letter.</w:t>
            </w:r>
          </w:p>
          <w:p w14:paraId="040AC96C" w14:textId="77777777" w:rsidR="00654EBC" w:rsidRPr="00C167CB" w:rsidRDefault="00654EBC" w:rsidP="00654EBC">
            <w:pPr>
              <w:pStyle w:val="ListParagraph"/>
              <w:numPr>
                <w:ilvl w:val="0"/>
                <w:numId w:val="4"/>
              </w:numPr>
              <w:rPr>
                <w:rFonts w:cstheme="minorHAnsi"/>
                <w:color w:val="1F3864" w:themeColor="accent1" w:themeShade="80"/>
                <w:sz w:val="22"/>
                <w:szCs w:val="20"/>
              </w:rPr>
            </w:pPr>
            <w:r>
              <w:rPr>
                <w:rFonts w:eastAsiaTheme="minorEastAsia" w:cstheme="minorHAnsi"/>
                <w:color w:val="1F3864" w:themeColor="accent1" w:themeShade="80"/>
                <w:sz w:val="22"/>
                <w:szCs w:val="22"/>
              </w:rPr>
              <w:t>Select members</w:t>
            </w:r>
            <w:r w:rsidRPr="00347164">
              <w:rPr>
                <w:rFonts w:eastAsiaTheme="minorEastAsia" w:cstheme="minorHAnsi"/>
                <w:color w:val="1F3864" w:themeColor="accent1" w:themeShade="80"/>
                <w:sz w:val="22"/>
                <w:szCs w:val="22"/>
              </w:rPr>
              <w:t xml:space="preserve"> based on</w:t>
            </w:r>
            <w:r w:rsidRPr="00AD6BA0">
              <w:rPr>
                <w:rFonts w:eastAsiaTheme="minorEastAsia" w:cstheme="minorHAnsi"/>
                <w:color w:val="1F3864" w:themeColor="accent1" w:themeShade="80"/>
                <w:sz w:val="22"/>
                <w:szCs w:val="20"/>
              </w:rPr>
              <w:t xml:space="preserve"> their ability to commit to serving on the NLG for the duration of the assessment in order to avoid, as much as possible, changes to the group composition </w:t>
            </w:r>
          </w:p>
        </w:tc>
      </w:tr>
      <w:tr w:rsidR="00654EBC" w14:paraId="00C4DB37" w14:textId="77777777" w:rsidTr="001B75FD">
        <w:tc>
          <w:tcPr>
            <w:tcW w:w="2245" w:type="dxa"/>
          </w:tcPr>
          <w:p w14:paraId="55D01CA7" w14:textId="77777777" w:rsidR="00654EBC" w:rsidRPr="00C805A3" w:rsidRDefault="00654EBC" w:rsidP="001B75FD">
            <w:pPr>
              <w:pStyle w:val="Heading3"/>
              <w:numPr>
                <w:ilvl w:val="0"/>
                <w:numId w:val="0"/>
              </w:numPr>
              <w:outlineLvl w:val="2"/>
              <w:rPr>
                <w:rFonts w:asciiTheme="minorHAnsi" w:hAnsiTheme="minorHAnsi" w:cstheme="minorHAnsi"/>
                <w:b/>
                <w:i/>
                <w:color w:val="1F3864" w:themeColor="accent1" w:themeShade="80"/>
                <w:sz w:val="22"/>
                <w:szCs w:val="22"/>
              </w:rPr>
            </w:pPr>
            <w:bookmarkStart w:id="2" w:name="_Toc536029479"/>
            <w:bookmarkStart w:id="3" w:name="_Toc536539933"/>
            <w:bookmarkStart w:id="4" w:name="_Toc192258"/>
            <w:bookmarkStart w:id="5" w:name="_Toc268341"/>
            <w:bookmarkStart w:id="6" w:name="_Toc271537"/>
            <w:bookmarkStart w:id="7" w:name="_Toc958485"/>
            <w:bookmarkStart w:id="8" w:name="_Toc3900624"/>
            <w:bookmarkStart w:id="9" w:name="_Toc6408881"/>
            <w:r w:rsidRPr="00C805A3">
              <w:rPr>
                <w:rFonts w:asciiTheme="minorHAnsi" w:hAnsiTheme="minorHAnsi" w:cstheme="minorHAnsi"/>
                <w:b/>
                <w:i/>
                <w:color w:val="1F3864" w:themeColor="accent1" w:themeShade="80"/>
                <w:sz w:val="22"/>
                <w:szCs w:val="22"/>
              </w:rPr>
              <w:t>Planning first meeting</w:t>
            </w:r>
            <w:bookmarkEnd w:id="2"/>
            <w:bookmarkEnd w:id="3"/>
            <w:bookmarkEnd w:id="4"/>
            <w:bookmarkEnd w:id="5"/>
            <w:bookmarkEnd w:id="6"/>
            <w:bookmarkEnd w:id="7"/>
            <w:bookmarkEnd w:id="8"/>
            <w:bookmarkEnd w:id="9"/>
            <w:r w:rsidRPr="00C805A3">
              <w:rPr>
                <w:rFonts w:asciiTheme="minorHAnsi" w:hAnsiTheme="minorHAnsi" w:cstheme="minorHAnsi"/>
                <w:b/>
                <w:i/>
                <w:color w:val="1F3864" w:themeColor="accent1" w:themeShade="80"/>
                <w:sz w:val="22"/>
                <w:szCs w:val="22"/>
              </w:rPr>
              <w:t xml:space="preserve"> </w:t>
            </w:r>
          </w:p>
          <w:p w14:paraId="2BE81EA4" w14:textId="77777777" w:rsidR="00654EBC" w:rsidRPr="00C805A3" w:rsidRDefault="00654EBC" w:rsidP="001B75FD">
            <w:pPr>
              <w:rPr>
                <w:rFonts w:cstheme="minorHAnsi"/>
                <w:b/>
                <w:i/>
                <w:color w:val="1F3864" w:themeColor="accent1" w:themeShade="80"/>
                <w:sz w:val="22"/>
                <w:szCs w:val="22"/>
              </w:rPr>
            </w:pPr>
          </w:p>
        </w:tc>
        <w:tc>
          <w:tcPr>
            <w:tcW w:w="7393" w:type="dxa"/>
          </w:tcPr>
          <w:p w14:paraId="02EC499B" w14:textId="77777777" w:rsidR="00654EBC" w:rsidRPr="00AD6BA0" w:rsidRDefault="00654EBC" w:rsidP="00654EBC">
            <w:pPr>
              <w:pStyle w:val="ListParagraph"/>
              <w:numPr>
                <w:ilvl w:val="0"/>
                <w:numId w:val="5"/>
              </w:numPr>
              <w:rPr>
                <w:color w:val="1F3864" w:themeColor="accent1" w:themeShade="80"/>
                <w:sz w:val="22"/>
                <w:szCs w:val="20"/>
              </w:rPr>
            </w:pPr>
            <w:r w:rsidRPr="00AD6BA0">
              <w:rPr>
                <w:rFonts w:cstheme="minorHAnsi"/>
                <w:color w:val="1F3864" w:themeColor="accent1" w:themeShade="80"/>
                <w:sz w:val="22"/>
                <w:szCs w:val="20"/>
              </w:rPr>
              <w:t>Prior to the meeting, the organizing entity, implementing entity and funding partner can work together to a</w:t>
            </w:r>
            <w:r w:rsidRPr="00AD6BA0">
              <w:rPr>
                <w:color w:val="1F3864" w:themeColor="accent1" w:themeShade="80"/>
                <w:sz w:val="22"/>
                <w:szCs w:val="20"/>
              </w:rPr>
              <w:t>gree on roles and responsibilities for the first NLG meeting, including who will chair the meeting, organize the first meeting logistics (identifying and covering any costs of meeting space, refreshments, equipment and copies needed, etc) and prepare meeting notes</w:t>
            </w:r>
          </w:p>
          <w:p w14:paraId="3DD0727C" w14:textId="77777777" w:rsidR="00654EBC" w:rsidRPr="00AD6BA0" w:rsidRDefault="00654EBC" w:rsidP="00654EBC">
            <w:pPr>
              <w:pStyle w:val="ListParagraph"/>
              <w:numPr>
                <w:ilvl w:val="0"/>
                <w:numId w:val="5"/>
              </w:numPr>
              <w:rPr>
                <w:color w:val="1F3864" w:themeColor="accent1" w:themeShade="80"/>
                <w:sz w:val="22"/>
                <w:szCs w:val="20"/>
              </w:rPr>
            </w:pPr>
            <w:r w:rsidRPr="00AD6BA0">
              <w:rPr>
                <w:color w:val="1F3864" w:themeColor="accent1" w:themeShade="80"/>
                <w:sz w:val="22"/>
                <w:szCs w:val="20"/>
              </w:rPr>
              <w:t>An example agenda is provided to start discussion on topics to cover; finalize meeting agenda and identify presenter and facilitator roles</w:t>
            </w:r>
          </w:p>
        </w:tc>
      </w:tr>
      <w:tr w:rsidR="00654EBC" w14:paraId="06A4E1D3" w14:textId="77777777" w:rsidTr="001B75FD">
        <w:tc>
          <w:tcPr>
            <w:tcW w:w="2245" w:type="dxa"/>
          </w:tcPr>
          <w:p w14:paraId="1B1A8122" w14:textId="77777777" w:rsidR="00654EBC" w:rsidRPr="00C805A3" w:rsidRDefault="00654EBC" w:rsidP="001B75FD">
            <w:pPr>
              <w:pStyle w:val="Heading3"/>
              <w:numPr>
                <w:ilvl w:val="0"/>
                <w:numId w:val="0"/>
              </w:numPr>
              <w:outlineLvl w:val="2"/>
              <w:rPr>
                <w:rFonts w:asciiTheme="minorHAnsi" w:hAnsiTheme="minorHAnsi" w:cstheme="minorHAnsi"/>
                <w:b/>
                <w:i/>
                <w:color w:val="1F3864" w:themeColor="accent1" w:themeShade="80"/>
                <w:sz w:val="22"/>
                <w:szCs w:val="22"/>
              </w:rPr>
            </w:pPr>
            <w:bookmarkStart w:id="10" w:name="_Toc536029481"/>
            <w:bookmarkStart w:id="11" w:name="_Toc536539935"/>
            <w:bookmarkStart w:id="12" w:name="_Toc192260"/>
            <w:bookmarkStart w:id="13" w:name="_Toc268342"/>
            <w:bookmarkStart w:id="14" w:name="_Toc271538"/>
            <w:bookmarkStart w:id="15" w:name="_Toc958486"/>
            <w:bookmarkStart w:id="16" w:name="_Toc3900625"/>
            <w:bookmarkStart w:id="17" w:name="_Toc6408882"/>
            <w:r w:rsidRPr="00C805A3">
              <w:rPr>
                <w:rFonts w:asciiTheme="minorHAnsi" w:hAnsiTheme="minorHAnsi" w:cstheme="minorHAnsi"/>
                <w:b/>
                <w:i/>
                <w:color w:val="1F3864" w:themeColor="accent1" w:themeShade="80"/>
                <w:sz w:val="22"/>
                <w:szCs w:val="22"/>
              </w:rPr>
              <w:t>Establishing clear goals</w:t>
            </w:r>
            <w:bookmarkEnd w:id="10"/>
            <w:bookmarkEnd w:id="11"/>
            <w:bookmarkEnd w:id="12"/>
            <w:bookmarkEnd w:id="13"/>
            <w:bookmarkEnd w:id="14"/>
            <w:bookmarkEnd w:id="15"/>
            <w:bookmarkEnd w:id="16"/>
            <w:bookmarkEnd w:id="17"/>
          </w:p>
          <w:p w14:paraId="62D8B903" w14:textId="77777777" w:rsidR="00654EBC" w:rsidRPr="00C805A3" w:rsidRDefault="00654EBC" w:rsidP="001B75FD">
            <w:pPr>
              <w:rPr>
                <w:rFonts w:cstheme="minorHAnsi"/>
                <w:b/>
                <w:i/>
                <w:color w:val="1F3864" w:themeColor="accent1" w:themeShade="80"/>
                <w:sz w:val="22"/>
                <w:szCs w:val="22"/>
              </w:rPr>
            </w:pPr>
          </w:p>
        </w:tc>
        <w:tc>
          <w:tcPr>
            <w:tcW w:w="7393" w:type="dxa"/>
          </w:tcPr>
          <w:p w14:paraId="2F3E8E42" w14:textId="77777777" w:rsidR="00654EBC" w:rsidRDefault="00654EBC" w:rsidP="00654EBC">
            <w:pPr>
              <w:pStyle w:val="ListParagraph"/>
              <w:numPr>
                <w:ilvl w:val="0"/>
                <w:numId w:val="5"/>
              </w:numPr>
              <w:rPr>
                <w:rFonts w:cstheme="minorHAnsi"/>
                <w:color w:val="1F3864" w:themeColor="accent1" w:themeShade="80"/>
                <w:sz w:val="22"/>
                <w:szCs w:val="20"/>
              </w:rPr>
            </w:pPr>
            <w:r w:rsidRPr="00AD6BA0">
              <w:rPr>
                <w:rFonts w:cstheme="minorHAnsi"/>
                <w:color w:val="1F3864" w:themeColor="accent1" w:themeShade="80"/>
                <w:sz w:val="22"/>
                <w:szCs w:val="20"/>
              </w:rPr>
              <w:t xml:space="preserve">Example goals of the mapping process and of the NLG role are included in the toolkit.  These can be presented and reviewed for edits and approval by the new NLG members at the first meeting.  </w:t>
            </w:r>
          </w:p>
          <w:p w14:paraId="0DE433D3" w14:textId="77777777" w:rsidR="00654EBC" w:rsidRPr="00C167CB" w:rsidRDefault="00654EBC" w:rsidP="00654EBC">
            <w:pPr>
              <w:pStyle w:val="ListParagraph"/>
              <w:numPr>
                <w:ilvl w:val="0"/>
                <w:numId w:val="5"/>
              </w:numPr>
              <w:rPr>
                <w:rFonts w:cstheme="minorHAnsi"/>
                <w:color w:val="1F3864" w:themeColor="accent1" w:themeShade="80"/>
                <w:sz w:val="22"/>
                <w:szCs w:val="20"/>
              </w:rPr>
            </w:pPr>
            <w:r w:rsidRPr="00AD6BA0">
              <w:rPr>
                <w:rFonts w:cstheme="minorHAnsi"/>
                <w:color w:val="1F3864" w:themeColor="accent1" w:themeShade="80"/>
                <w:sz w:val="22"/>
                <w:szCs w:val="20"/>
              </w:rPr>
              <w:t>At the first meeting, the group should identify and agree to some basic ground rules for meetings</w:t>
            </w:r>
            <w:r>
              <w:rPr>
                <w:rFonts w:cstheme="minorHAnsi"/>
                <w:color w:val="1F3864" w:themeColor="accent1" w:themeShade="80"/>
                <w:sz w:val="22"/>
                <w:szCs w:val="20"/>
              </w:rPr>
              <w:t>, d</w:t>
            </w:r>
            <w:r>
              <w:rPr>
                <w:rFonts w:eastAsiaTheme="minorEastAsia" w:cstheme="minorHAnsi"/>
                <w:color w:val="1F3864" w:themeColor="accent1" w:themeShade="80"/>
                <w:sz w:val="22"/>
                <w:szCs w:val="20"/>
              </w:rPr>
              <w:t>e</w:t>
            </w:r>
            <w:r w:rsidRPr="00AD6BA0">
              <w:rPr>
                <w:rFonts w:eastAsiaTheme="minorEastAsia" w:cstheme="minorHAnsi"/>
                <w:color w:val="1F3864" w:themeColor="accent1" w:themeShade="80"/>
                <w:sz w:val="22"/>
                <w:szCs w:val="20"/>
              </w:rPr>
              <w:t>velop and commit to clear timeline completion date</w:t>
            </w:r>
            <w:r>
              <w:rPr>
                <w:rFonts w:eastAsiaTheme="minorEastAsia" w:cstheme="minorHAnsi"/>
                <w:color w:val="1F3864" w:themeColor="accent1" w:themeShade="80"/>
                <w:sz w:val="22"/>
                <w:szCs w:val="20"/>
              </w:rPr>
              <w:t>s and agree to</w:t>
            </w:r>
            <w:r w:rsidRPr="00AD6BA0">
              <w:rPr>
                <w:rFonts w:eastAsiaTheme="minorEastAsia" w:cstheme="minorHAnsi"/>
                <w:color w:val="1F3864" w:themeColor="accent1" w:themeShade="80"/>
                <w:sz w:val="22"/>
                <w:szCs w:val="20"/>
              </w:rPr>
              <w:t xml:space="preserve"> hol</w:t>
            </w:r>
            <w:r>
              <w:rPr>
                <w:rFonts w:eastAsiaTheme="minorEastAsia" w:cstheme="minorHAnsi"/>
                <w:color w:val="1F3864" w:themeColor="accent1" w:themeShade="80"/>
                <w:sz w:val="22"/>
                <w:szCs w:val="20"/>
              </w:rPr>
              <w:t>d</w:t>
            </w:r>
            <w:r w:rsidRPr="00AD6BA0">
              <w:rPr>
                <w:rFonts w:eastAsiaTheme="minorEastAsia" w:cstheme="minorHAnsi"/>
                <w:color w:val="1F3864" w:themeColor="accent1" w:themeShade="80"/>
                <w:sz w:val="22"/>
                <w:szCs w:val="20"/>
              </w:rPr>
              <w:t xml:space="preserve"> an adequate number of meetings during that time</w:t>
            </w:r>
          </w:p>
        </w:tc>
      </w:tr>
      <w:tr w:rsidR="00654EBC" w14:paraId="00E28DA3" w14:textId="77777777" w:rsidTr="001B75FD">
        <w:tc>
          <w:tcPr>
            <w:tcW w:w="2245" w:type="dxa"/>
          </w:tcPr>
          <w:p w14:paraId="7E7809A8" w14:textId="77777777" w:rsidR="00654EBC" w:rsidRPr="00C805A3" w:rsidRDefault="00654EBC" w:rsidP="001B75FD">
            <w:pPr>
              <w:pStyle w:val="Heading3"/>
              <w:numPr>
                <w:ilvl w:val="0"/>
                <w:numId w:val="0"/>
              </w:numPr>
              <w:outlineLvl w:val="2"/>
              <w:rPr>
                <w:rFonts w:asciiTheme="minorHAnsi" w:hAnsiTheme="minorHAnsi" w:cstheme="minorHAnsi"/>
                <w:b/>
                <w:i/>
                <w:color w:val="1F3864" w:themeColor="accent1" w:themeShade="80"/>
                <w:sz w:val="22"/>
                <w:szCs w:val="22"/>
              </w:rPr>
            </w:pPr>
            <w:bookmarkStart w:id="18" w:name="_Toc536029482"/>
            <w:bookmarkStart w:id="19" w:name="_Toc536539936"/>
            <w:bookmarkStart w:id="20" w:name="_Toc192261"/>
            <w:bookmarkStart w:id="21" w:name="_Toc268343"/>
            <w:bookmarkStart w:id="22" w:name="_Toc271539"/>
            <w:bookmarkStart w:id="23" w:name="_Toc958487"/>
            <w:bookmarkStart w:id="24" w:name="_Toc3900626"/>
            <w:bookmarkStart w:id="25" w:name="_Toc6408883"/>
            <w:r w:rsidRPr="00C805A3">
              <w:rPr>
                <w:rFonts w:asciiTheme="minorHAnsi" w:hAnsiTheme="minorHAnsi" w:cstheme="minorHAnsi"/>
                <w:b/>
                <w:i/>
                <w:color w:val="1F3864" w:themeColor="accent1" w:themeShade="80"/>
                <w:sz w:val="22"/>
                <w:szCs w:val="22"/>
              </w:rPr>
              <w:t>Ensuring necessary support</w:t>
            </w:r>
            <w:bookmarkEnd w:id="18"/>
            <w:bookmarkEnd w:id="19"/>
            <w:bookmarkEnd w:id="20"/>
            <w:bookmarkEnd w:id="21"/>
            <w:bookmarkEnd w:id="22"/>
            <w:bookmarkEnd w:id="23"/>
            <w:bookmarkEnd w:id="24"/>
            <w:bookmarkEnd w:id="25"/>
          </w:p>
          <w:p w14:paraId="5E176019" w14:textId="77777777" w:rsidR="00654EBC" w:rsidRPr="00C805A3" w:rsidRDefault="00654EBC" w:rsidP="001B75FD">
            <w:pPr>
              <w:rPr>
                <w:rFonts w:cstheme="minorHAnsi"/>
                <w:b/>
                <w:i/>
                <w:color w:val="1F3864" w:themeColor="accent1" w:themeShade="80"/>
                <w:sz w:val="22"/>
                <w:szCs w:val="22"/>
              </w:rPr>
            </w:pPr>
          </w:p>
        </w:tc>
        <w:tc>
          <w:tcPr>
            <w:tcW w:w="7393" w:type="dxa"/>
          </w:tcPr>
          <w:p w14:paraId="41CE98D7" w14:textId="77777777" w:rsidR="00654EBC" w:rsidRPr="00AD6BA0" w:rsidRDefault="00654EBC" w:rsidP="00654EBC">
            <w:pPr>
              <w:pStyle w:val="ListParagraph"/>
              <w:numPr>
                <w:ilvl w:val="0"/>
                <w:numId w:val="5"/>
              </w:numPr>
              <w:rPr>
                <w:rFonts w:cstheme="minorHAnsi"/>
                <w:color w:val="1F3864" w:themeColor="accent1" w:themeShade="80"/>
                <w:sz w:val="22"/>
                <w:szCs w:val="20"/>
              </w:rPr>
            </w:pPr>
            <w:r w:rsidRPr="00AD6BA0">
              <w:rPr>
                <w:rFonts w:cstheme="minorHAnsi"/>
                <w:color w:val="1F3864" w:themeColor="accent1" w:themeShade="80"/>
                <w:sz w:val="22"/>
                <w:szCs w:val="20"/>
              </w:rPr>
              <w:t>The group will need effective administrative support.  This should be discussed in advance, and could include, for example:</w:t>
            </w:r>
          </w:p>
          <w:p w14:paraId="2DCA5051" w14:textId="77777777" w:rsidR="00654EBC" w:rsidRPr="00AD6BA0" w:rsidRDefault="00654EBC" w:rsidP="00654EBC">
            <w:pPr>
              <w:pStyle w:val="ListParagraph"/>
              <w:numPr>
                <w:ilvl w:val="0"/>
                <w:numId w:val="6"/>
              </w:numPr>
              <w:rPr>
                <w:rFonts w:eastAsiaTheme="minorEastAsia" w:cstheme="minorHAnsi"/>
                <w:b/>
                <w:bCs/>
                <w:color w:val="1F3864" w:themeColor="accent1" w:themeShade="80"/>
                <w:sz w:val="22"/>
                <w:szCs w:val="20"/>
              </w:rPr>
            </w:pPr>
            <w:r w:rsidRPr="00AD6BA0">
              <w:rPr>
                <w:rFonts w:cstheme="minorHAnsi"/>
                <w:color w:val="1F3864" w:themeColor="accent1" w:themeShade="80"/>
                <w:sz w:val="22"/>
                <w:szCs w:val="20"/>
              </w:rPr>
              <w:t>Drafting and helping to send</w:t>
            </w:r>
            <w:r w:rsidRPr="00AD6BA0">
              <w:rPr>
                <w:rFonts w:eastAsiaTheme="minorEastAsia" w:cstheme="minorHAnsi"/>
                <w:color w:val="1F3864" w:themeColor="accent1" w:themeShade="80"/>
                <w:sz w:val="22"/>
                <w:szCs w:val="20"/>
              </w:rPr>
              <w:t xml:space="preserve"> invitations</w:t>
            </w:r>
          </w:p>
          <w:p w14:paraId="4577EF98" w14:textId="77777777" w:rsidR="00654EBC" w:rsidRPr="00AD6BA0" w:rsidRDefault="00654EBC" w:rsidP="00654EBC">
            <w:pPr>
              <w:pStyle w:val="ListParagraph"/>
              <w:numPr>
                <w:ilvl w:val="0"/>
                <w:numId w:val="6"/>
              </w:numPr>
              <w:rPr>
                <w:rFonts w:eastAsiaTheme="minorEastAsia" w:cstheme="minorHAnsi"/>
                <w:b/>
                <w:bCs/>
                <w:color w:val="1F3864" w:themeColor="accent1" w:themeShade="80"/>
                <w:sz w:val="22"/>
                <w:szCs w:val="20"/>
              </w:rPr>
            </w:pPr>
            <w:r w:rsidRPr="00AD6BA0">
              <w:rPr>
                <w:rFonts w:eastAsiaTheme="minorEastAsia" w:cstheme="minorHAnsi"/>
                <w:color w:val="1F3864" w:themeColor="accent1" w:themeShade="80"/>
                <w:sz w:val="22"/>
                <w:szCs w:val="20"/>
              </w:rPr>
              <w:t xml:space="preserve">Developing agendas and presentations </w:t>
            </w:r>
          </w:p>
          <w:p w14:paraId="252F6E97" w14:textId="77777777" w:rsidR="00654EBC" w:rsidRPr="00AD6BA0" w:rsidRDefault="00654EBC" w:rsidP="00654EBC">
            <w:pPr>
              <w:pStyle w:val="ListParagraph"/>
              <w:numPr>
                <w:ilvl w:val="0"/>
                <w:numId w:val="6"/>
              </w:numPr>
              <w:rPr>
                <w:rFonts w:eastAsiaTheme="minorEastAsia" w:cstheme="minorHAnsi"/>
                <w:b/>
                <w:bCs/>
                <w:color w:val="1F3864" w:themeColor="accent1" w:themeShade="80"/>
                <w:sz w:val="22"/>
                <w:szCs w:val="20"/>
              </w:rPr>
            </w:pPr>
            <w:r w:rsidRPr="00AD6BA0">
              <w:rPr>
                <w:rFonts w:eastAsiaTheme="minorEastAsia" w:cstheme="minorHAnsi"/>
                <w:color w:val="1F3864" w:themeColor="accent1" w:themeShade="80"/>
                <w:sz w:val="22"/>
                <w:szCs w:val="20"/>
              </w:rPr>
              <w:t xml:space="preserve">Preparing meeting notes </w:t>
            </w:r>
          </w:p>
          <w:p w14:paraId="27B25E90" w14:textId="77777777" w:rsidR="00654EBC" w:rsidRPr="00C167CB" w:rsidRDefault="00654EBC" w:rsidP="00654EBC">
            <w:pPr>
              <w:pStyle w:val="Heading3"/>
              <w:keepNext w:val="0"/>
              <w:keepLines w:val="0"/>
              <w:numPr>
                <w:ilvl w:val="0"/>
                <w:numId w:val="6"/>
              </w:numPr>
              <w:tabs>
                <w:tab w:val="left" w:pos="0"/>
                <w:tab w:val="left" w:pos="851"/>
              </w:tabs>
              <w:spacing w:before="0"/>
              <w:outlineLvl w:val="2"/>
              <w:rPr>
                <w:rFonts w:asciiTheme="minorHAnsi" w:eastAsiaTheme="minorEastAsia" w:hAnsiTheme="minorHAnsi" w:cstheme="minorHAnsi"/>
                <w:color w:val="1F3864" w:themeColor="accent1" w:themeShade="80"/>
                <w:sz w:val="22"/>
                <w:szCs w:val="20"/>
              </w:rPr>
            </w:pPr>
            <w:bookmarkStart w:id="26" w:name="_Toc268344"/>
            <w:bookmarkStart w:id="27" w:name="_Toc271540"/>
            <w:bookmarkStart w:id="28" w:name="_Toc958488"/>
            <w:bookmarkStart w:id="29" w:name="_Toc3900627"/>
            <w:bookmarkStart w:id="30" w:name="_Toc6408884"/>
            <w:r w:rsidRPr="00AD6BA0">
              <w:rPr>
                <w:rFonts w:asciiTheme="minorHAnsi" w:eastAsiaTheme="minorEastAsia" w:hAnsiTheme="minorHAnsi" w:cstheme="minorHAnsi"/>
                <w:color w:val="1F3864" w:themeColor="accent1" w:themeShade="80"/>
                <w:sz w:val="22"/>
                <w:szCs w:val="20"/>
              </w:rPr>
              <w:t xml:space="preserve">Facilitating communications between NLG and implementing entity </w:t>
            </w:r>
            <w:r w:rsidRPr="00AD6BA0">
              <w:rPr>
                <w:rFonts w:asciiTheme="minorHAnsi" w:hAnsiTheme="minorHAnsi" w:cstheme="minorHAnsi"/>
                <w:color w:val="1F3864" w:themeColor="accent1" w:themeShade="80"/>
                <w:sz w:val="22"/>
                <w:szCs w:val="20"/>
              </w:rPr>
              <w:t>to obtain</w:t>
            </w:r>
            <w:r w:rsidRPr="00AD6BA0">
              <w:rPr>
                <w:rFonts w:asciiTheme="minorHAnsi" w:eastAsiaTheme="minorEastAsia" w:hAnsiTheme="minorHAnsi" w:cstheme="minorHAnsi"/>
                <w:color w:val="1F3864" w:themeColor="accent1" w:themeShade="80"/>
                <w:sz w:val="22"/>
                <w:szCs w:val="20"/>
              </w:rPr>
              <w:t xml:space="preserve"> any written feedback on the initial data, preliminary and final reports and recommendations between meetings</w:t>
            </w:r>
            <w:bookmarkEnd w:id="26"/>
            <w:bookmarkEnd w:id="27"/>
            <w:bookmarkEnd w:id="28"/>
            <w:bookmarkEnd w:id="29"/>
            <w:bookmarkEnd w:id="30"/>
          </w:p>
        </w:tc>
      </w:tr>
      <w:tr w:rsidR="00654EBC" w14:paraId="743B98CB" w14:textId="77777777" w:rsidTr="001B75FD">
        <w:tc>
          <w:tcPr>
            <w:tcW w:w="2245" w:type="dxa"/>
          </w:tcPr>
          <w:p w14:paraId="0E605918" w14:textId="77777777" w:rsidR="00654EBC" w:rsidRPr="00C805A3" w:rsidRDefault="00654EBC" w:rsidP="001B75FD">
            <w:pPr>
              <w:rPr>
                <w:rFonts w:cstheme="minorHAnsi"/>
                <w:b/>
                <w:i/>
                <w:color w:val="1F3864" w:themeColor="accent1" w:themeShade="80"/>
                <w:sz w:val="22"/>
                <w:szCs w:val="22"/>
              </w:rPr>
            </w:pPr>
            <w:r>
              <w:rPr>
                <w:rFonts w:cstheme="minorHAnsi"/>
                <w:b/>
                <w:i/>
                <w:color w:val="1F3864" w:themeColor="accent1" w:themeShade="80"/>
                <w:sz w:val="22"/>
                <w:szCs w:val="22"/>
              </w:rPr>
              <w:t>Establishing the</w:t>
            </w:r>
            <w:r w:rsidRPr="00C805A3">
              <w:rPr>
                <w:rFonts w:cstheme="minorHAnsi"/>
                <w:b/>
                <w:i/>
                <w:color w:val="1F3864" w:themeColor="accent1" w:themeShade="80"/>
                <w:sz w:val="22"/>
                <w:szCs w:val="22"/>
              </w:rPr>
              <w:t xml:space="preserve"> defini</w:t>
            </w:r>
            <w:r>
              <w:rPr>
                <w:rFonts w:cstheme="minorHAnsi"/>
                <w:b/>
                <w:i/>
                <w:color w:val="1F3864" w:themeColor="accent1" w:themeShade="80"/>
                <w:sz w:val="22"/>
                <w:szCs w:val="22"/>
              </w:rPr>
              <w:t>tion of</w:t>
            </w:r>
            <w:r w:rsidRPr="00C805A3">
              <w:rPr>
                <w:rFonts w:cstheme="minorHAnsi"/>
                <w:b/>
                <w:i/>
                <w:color w:val="1F3864" w:themeColor="accent1" w:themeShade="80"/>
                <w:sz w:val="22"/>
                <w:szCs w:val="22"/>
              </w:rPr>
              <w:t xml:space="preserve"> the workforce</w:t>
            </w:r>
          </w:p>
        </w:tc>
        <w:tc>
          <w:tcPr>
            <w:tcW w:w="7393" w:type="dxa"/>
          </w:tcPr>
          <w:p w14:paraId="2146AE03" w14:textId="77777777" w:rsidR="00654EBC" w:rsidRPr="00AD6BA0" w:rsidRDefault="00654EBC" w:rsidP="00654EBC">
            <w:pPr>
              <w:pStyle w:val="CommentText"/>
              <w:numPr>
                <w:ilvl w:val="0"/>
                <w:numId w:val="5"/>
              </w:numPr>
              <w:rPr>
                <w:color w:val="1F3864" w:themeColor="accent1" w:themeShade="80"/>
                <w:sz w:val="22"/>
              </w:rPr>
            </w:pPr>
            <w:r w:rsidRPr="00AD6BA0">
              <w:rPr>
                <w:color w:val="1F3864" w:themeColor="accent1" w:themeShade="80"/>
                <w:sz w:val="22"/>
              </w:rPr>
              <w:t xml:space="preserve">Share </w:t>
            </w:r>
            <w:r>
              <w:rPr>
                <w:color w:val="1F3864" w:themeColor="accent1" w:themeShade="80"/>
                <w:sz w:val="22"/>
              </w:rPr>
              <w:t xml:space="preserve">the </w:t>
            </w:r>
            <w:r w:rsidRPr="00AD6BA0">
              <w:rPr>
                <w:color w:val="1F3864" w:themeColor="accent1" w:themeShade="80"/>
                <w:sz w:val="22"/>
              </w:rPr>
              <w:t>existing global definition of the social service workforce</w:t>
            </w:r>
            <w:r w:rsidRPr="00AD6BA0">
              <w:rPr>
                <w:rStyle w:val="FootnoteReference"/>
                <w:color w:val="1F3864" w:themeColor="accent1" w:themeShade="80"/>
                <w:sz w:val="22"/>
              </w:rPr>
              <w:footnoteReference w:id="1"/>
            </w:r>
          </w:p>
          <w:p w14:paraId="2F8E6239" w14:textId="77777777" w:rsidR="00654EBC" w:rsidRPr="00AD6BA0" w:rsidRDefault="00654EBC" w:rsidP="00654EBC">
            <w:pPr>
              <w:pStyle w:val="CommentText"/>
              <w:numPr>
                <w:ilvl w:val="0"/>
                <w:numId w:val="5"/>
              </w:numPr>
              <w:rPr>
                <w:color w:val="1F3864" w:themeColor="accent1" w:themeShade="80"/>
                <w:sz w:val="22"/>
              </w:rPr>
            </w:pPr>
            <w:r w:rsidRPr="00AD6BA0">
              <w:rPr>
                <w:color w:val="1F3864" w:themeColor="accent1" w:themeShade="80"/>
                <w:sz w:val="22"/>
              </w:rPr>
              <w:t xml:space="preserve">Discuss </w:t>
            </w:r>
            <w:r>
              <w:rPr>
                <w:color w:val="1F3864" w:themeColor="accent1" w:themeShade="80"/>
                <w:sz w:val="22"/>
              </w:rPr>
              <w:t xml:space="preserve">the </w:t>
            </w:r>
            <w:r w:rsidRPr="00AD6BA0">
              <w:rPr>
                <w:color w:val="1F3864" w:themeColor="accent1" w:themeShade="80"/>
                <w:sz w:val="22"/>
              </w:rPr>
              <w:t xml:space="preserve">definition of </w:t>
            </w:r>
            <w:r>
              <w:rPr>
                <w:color w:val="1F3864" w:themeColor="accent1" w:themeShade="80"/>
                <w:sz w:val="22"/>
              </w:rPr>
              <w:t>“</w:t>
            </w:r>
            <w:r w:rsidRPr="00AD6BA0">
              <w:rPr>
                <w:color w:val="1F3864" w:themeColor="accent1" w:themeShade="80"/>
                <w:sz w:val="22"/>
              </w:rPr>
              <w:t>social work</w:t>
            </w:r>
            <w:r>
              <w:rPr>
                <w:color w:val="1F3864" w:themeColor="accent1" w:themeShade="80"/>
                <w:sz w:val="22"/>
              </w:rPr>
              <w:t>”</w:t>
            </w:r>
            <w:r w:rsidRPr="00AD6BA0">
              <w:rPr>
                <w:color w:val="1F3864" w:themeColor="accent1" w:themeShade="80"/>
                <w:sz w:val="22"/>
              </w:rPr>
              <w:t xml:space="preserve"> and the ways that the social service workforce definition differs and includes social work. Discuss other workers included under the social service workforce umbrella in the country</w:t>
            </w:r>
            <w:r>
              <w:rPr>
                <w:color w:val="1F3864" w:themeColor="accent1" w:themeShade="80"/>
                <w:sz w:val="22"/>
              </w:rPr>
              <w:t>.</w:t>
            </w:r>
            <w:r w:rsidRPr="00AD6BA0">
              <w:rPr>
                <w:color w:val="1F3864" w:themeColor="accent1" w:themeShade="80"/>
                <w:sz w:val="22"/>
              </w:rPr>
              <w:t xml:space="preserve"> </w:t>
            </w:r>
          </w:p>
          <w:p w14:paraId="045AFE96" w14:textId="77777777" w:rsidR="00654EBC" w:rsidRPr="00AD6BA0" w:rsidRDefault="00654EBC" w:rsidP="00654EBC">
            <w:pPr>
              <w:pStyle w:val="CommentText"/>
              <w:numPr>
                <w:ilvl w:val="0"/>
                <w:numId w:val="5"/>
              </w:numPr>
              <w:rPr>
                <w:color w:val="1F3864" w:themeColor="accent1" w:themeShade="80"/>
                <w:sz w:val="22"/>
              </w:rPr>
            </w:pPr>
            <w:r w:rsidRPr="00AD6BA0">
              <w:rPr>
                <w:color w:val="1F3864" w:themeColor="accent1" w:themeShade="80"/>
                <w:sz w:val="22"/>
              </w:rPr>
              <w:lastRenderedPageBreak/>
              <w:t>Discuss any related laws or policies that incorporate any definitions or mentions of the social service workforce</w:t>
            </w:r>
          </w:p>
          <w:p w14:paraId="31E58278" w14:textId="77777777" w:rsidR="00654EBC" w:rsidRPr="00AD6BA0" w:rsidRDefault="00654EBC" w:rsidP="00654EBC">
            <w:pPr>
              <w:pStyle w:val="CommentText"/>
              <w:numPr>
                <w:ilvl w:val="0"/>
                <w:numId w:val="5"/>
              </w:numPr>
              <w:rPr>
                <w:color w:val="1F3864" w:themeColor="accent1" w:themeShade="80"/>
                <w:sz w:val="22"/>
              </w:rPr>
            </w:pPr>
            <w:r w:rsidRPr="00AD6BA0">
              <w:rPr>
                <w:color w:val="1F3864" w:themeColor="accent1" w:themeShade="80"/>
                <w:sz w:val="22"/>
              </w:rPr>
              <w:t xml:space="preserve">Ask the NLG members to list all possible roles/titles </w:t>
            </w:r>
            <w:r>
              <w:rPr>
                <w:color w:val="1F3864" w:themeColor="accent1" w:themeShade="80"/>
                <w:sz w:val="22"/>
              </w:rPr>
              <w:t>of social service workers</w:t>
            </w:r>
            <w:r w:rsidRPr="00AD6BA0">
              <w:rPr>
                <w:color w:val="1F3864" w:themeColor="accent1" w:themeShade="80"/>
                <w:sz w:val="22"/>
              </w:rPr>
              <w:t xml:space="preserve"> in the country </w:t>
            </w:r>
          </w:p>
          <w:p w14:paraId="4CCAF9BE" w14:textId="77777777" w:rsidR="00654EBC" w:rsidRPr="003D7A63" w:rsidRDefault="00654EBC" w:rsidP="00654EBC">
            <w:pPr>
              <w:pStyle w:val="CommentText"/>
              <w:numPr>
                <w:ilvl w:val="0"/>
                <w:numId w:val="5"/>
              </w:numPr>
              <w:rPr>
                <w:color w:val="1F3864" w:themeColor="accent1" w:themeShade="80"/>
                <w:sz w:val="22"/>
              </w:rPr>
            </w:pPr>
            <w:r w:rsidRPr="00AD6BA0">
              <w:rPr>
                <w:color w:val="1F3864" w:themeColor="accent1" w:themeShade="80"/>
                <w:sz w:val="22"/>
              </w:rPr>
              <w:t>Discuss and define who are “allied professionals”</w:t>
            </w:r>
          </w:p>
          <w:p w14:paraId="21DBBC70" w14:textId="77777777" w:rsidR="00654EBC" w:rsidRPr="003D7A63" w:rsidRDefault="00654EBC" w:rsidP="00654EBC">
            <w:pPr>
              <w:pStyle w:val="CommentText"/>
              <w:numPr>
                <w:ilvl w:val="0"/>
                <w:numId w:val="5"/>
              </w:numPr>
              <w:rPr>
                <w:color w:val="1F3864" w:themeColor="accent1" w:themeShade="80"/>
                <w:sz w:val="22"/>
              </w:rPr>
            </w:pPr>
            <w:r w:rsidRPr="00AD6BA0">
              <w:rPr>
                <w:color w:val="1F3864" w:themeColor="accent1" w:themeShade="80"/>
                <w:sz w:val="22"/>
              </w:rPr>
              <w:t xml:space="preserve">Prepare a chart to </w:t>
            </w:r>
            <w:r>
              <w:rPr>
                <w:color w:val="1F3864" w:themeColor="accent1" w:themeShade="80"/>
                <w:sz w:val="22"/>
              </w:rPr>
              <w:t>begin to record</w:t>
            </w:r>
            <w:r w:rsidRPr="00AD6BA0">
              <w:rPr>
                <w:color w:val="1F3864" w:themeColor="accent1" w:themeShade="80"/>
                <w:sz w:val="22"/>
              </w:rPr>
              <w:t xml:space="preserve"> the various levels, employers and roles of the workforce</w:t>
            </w:r>
            <w:r>
              <w:rPr>
                <w:color w:val="1F3864" w:themeColor="accent1" w:themeShade="80"/>
                <w:sz w:val="22"/>
              </w:rPr>
              <w:t xml:space="preserve">, as this will help in determining Key Institutions and workers to complete surveys, as well as refine the definition. </w:t>
            </w:r>
          </w:p>
          <w:p w14:paraId="05D8DEB8" w14:textId="77777777" w:rsidR="00654EBC" w:rsidRDefault="00654EBC" w:rsidP="00654EBC">
            <w:pPr>
              <w:pStyle w:val="ListParagraph"/>
              <w:numPr>
                <w:ilvl w:val="0"/>
                <w:numId w:val="7"/>
              </w:numPr>
              <w:rPr>
                <w:rFonts w:cstheme="minorHAnsi"/>
                <w:color w:val="1F3864" w:themeColor="accent1" w:themeShade="80"/>
                <w:sz w:val="22"/>
                <w:szCs w:val="20"/>
              </w:rPr>
            </w:pPr>
            <w:r w:rsidRPr="00C167CB">
              <w:rPr>
                <w:rFonts w:cstheme="minorHAnsi"/>
                <w:color w:val="1F3864" w:themeColor="accent1" w:themeShade="80"/>
                <w:sz w:val="22"/>
                <w:szCs w:val="20"/>
              </w:rPr>
              <w:t>Prepare a draft of the definition to circulate for review and final editing</w:t>
            </w:r>
          </w:p>
          <w:p w14:paraId="6BE4FE00" w14:textId="77777777" w:rsidR="00654EBC" w:rsidRPr="00C167CB" w:rsidRDefault="00654EBC" w:rsidP="00654EBC">
            <w:pPr>
              <w:pStyle w:val="ListParagraph"/>
              <w:numPr>
                <w:ilvl w:val="0"/>
                <w:numId w:val="7"/>
              </w:numPr>
              <w:rPr>
                <w:rFonts w:cstheme="minorHAnsi"/>
                <w:color w:val="1F3864" w:themeColor="accent1" w:themeShade="80"/>
                <w:sz w:val="22"/>
                <w:szCs w:val="20"/>
              </w:rPr>
            </w:pPr>
            <w:r>
              <w:rPr>
                <w:rFonts w:cstheme="minorHAnsi"/>
                <w:color w:val="1F3864" w:themeColor="accent1" w:themeShade="80"/>
                <w:sz w:val="22"/>
                <w:szCs w:val="20"/>
              </w:rPr>
              <w:t xml:space="preserve">The discussion of who to include and not include may be contentious.  The NLG may not be able to reach full consensus on the definition with all </w:t>
            </w:r>
            <w:proofErr w:type="gramStart"/>
            <w:r>
              <w:rPr>
                <w:rFonts w:cstheme="minorHAnsi"/>
                <w:color w:val="1F3864" w:themeColor="accent1" w:themeShade="80"/>
                <w:sz w:val="22"/>
                <w:szCs w:val="20"/>
              </w:rPr>
              <w:t>parties, but</w:t>
            </w:r>
            <w:proofErr w:type="gramEnd"/>
            <w:r>
              <w:rPr>
                <w:rFonts w:cstheme="minorHAnsi"/>
                <w:color w:val="1F3864" w:themeColor="accent1" w:themeShade="80"/>
                <w:sz w:val="22"/>
                <w:szCs w:val="20"/>
              </w:rPr>
              <w:t xml:space="preserve"> should listen to and incorporate as many viewpoints as possible in this process. The definition can be considered a “living definition” that can be reviewed and updated periodically, particularly as future progress is made against some of the actions in the strategic framework or action plan.</w:t>
            </w:r>
          </w:p>
          <w:p w14:paraId="4AF138F1" w14:textId="77777777" w:rsidR="00654EBC" w:rsidRPr="00AD6BA0" w:rsidRDefault="00654EBC" w:rsidP="001B75FD">
            <w:pPr>
              <w:rPr>
                <w:rFonts w:cstheme="minorHAnsi"/>
                <w:color w:val="1F3864" w:themeColor="accent1" w:themeShade="80"/>
                <w:sz w:val="22"/>
                <w:szCs w:val="20"/>
              </w:rPr>
            </w:pPr>
          </w:p>
          <w:p w14:paraId="2322419B" w14:textId="77777777" w:rsidR="00654EBC" w:rsidRPr="00AD6BA0" w:rsidRDefault="00654EBC" w:rsidP="001B75FD">
            <w:pPr>
              <w:rPr>
                <w:rFonts w:cstheme="minorHAnsi"/>
                <w:color w:val="1F3864" w:themeColor="accent1" w:themeShade="80"/>
                <w:sz w:val="22"/>
                <w:szCs w:val="20"/>
              </w:rPr>
            </w:pPr>
          </w:p>
        </w:tc>
      </w:tr>
    </w:tbl>
    <w:p w14:paraId="31BDFBAD" w14:textId="77777777" w:rsidR="007C1CF4" w:rsidRDefault="007C1CF4" w:rsidP="007C1CF4"/>
    <w:p w14:paraId="606CF11D" w14:textId="77777777" w:rsidR="007C1CF4" w:rsidRDefault="007C1CF4" w:rsidP="007C1CF4"/>
    <w:p w14:paraId="783166B6" w14:textId="77777777" w:rsidR="00660799" w:rsidRPr="007C1CF4" w:rsidRDefault="00660799" w:rsidP="007C1CF4"/>
    <w:sectPr w:rsidR="00660799" w:rsidRPr="007C1CF4"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4A69" w14:textId="77777777" w:rsidR="003A31CE" w:rsidRDefault="003A31CE" w:rsidP="007C1CF4">
      <w:pPr>
        <w:spacing w:after="0" w:line="240" w:lineRule="auto"/>
      </w:pPr>
      <w:r>
        <w:separator/>
      </w:r>
    </w:p>
  </w:endnote>
  <w:endnote w:type="continuationSeparator" w:id="0">
    <w:p w14:paraId="0FA6B850" w14:textId="77777777" w:rsidR="003A31CE" w:rsidRDefault="003A31CE"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052E" w14:textId="77777777" w:rsidR="003A31CE" w:rsidRDefault="003A31CE" w:rsidP="007C1CF4">
      <w:pPr>
        <w:spacing w:after="0" w:line="240" w:lineRule="auto"/>
      </w:pPr>
      <w:r>
        <w:separator/>
      </w:r>
    </w:p>
  </w:footnote>
  <w:footnote w:type="continuationSeparator" w:id="0">
    <w:p w14:paraId="5E2D3B2A" w14:textId="77777777" w:rsidR="003A31CE" w:rsidRDefault="003A31CE" w:rsidP="007C1CF4">
      <w:pPr>
        <w:spacing w:after="0" w:line="240" w:lineRule="auto"/>
      </w:pPr>
      <w:r>
        <w:continuationSeparator/>
      </w:r>
    </w:p>
  </w:footnote>
  <w:footnote w:id="1">
    <w:p w14:paraId="58306F50" w14:textId="77777777" w:rsidR="00654EBC" w:rsidRDefault="00654EBC" w:rsidP="00654EBC">
      <w:pPr>
        <w:pStyle w:val="FootnoteText"/>
      </w:pPr>
      <w:r>
        <w:rPr>
          <w:rStyle w:val="FootnoteReference"/>
        </w:rPr>
        <w:footnoteRef/>
      </w:r>
      <w:r>
        <w:t xml:space="preserve"> </w:t>
      </w:r>
      <w:r w:rsidRPr="005143CF">
        <w:rPr>
          <w:sz w:val="18"/>
        </w:rPr>
        <w:t>Global Social Service Workforce Alliance. 2019. Definition of the Social Service Workforce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49"/>
    <w:multiLevelType w:val="hybridMultilevel"/>
    <w:tmpl w:val="1E7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94340"/>
    <w:multiLevelType w:val="hybridMultilevel"/>
    <w:tmpl w:val="8A12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8A35A45"/>
    <w:multiLevelType w:val="hybridMultilevel"/>
    <w:tmpl w:val="C214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2F4E05"/>
    <w:multiLevelType w:val="hybridMultilevel"/>
    <w:tmpl w:val="A5125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17091E"/>
    <w:rsid w:val="003A31CE"/>
    <w:rsid w:val="00654EBC"/>
    <w:rsid w:val="00660799"/>
    <w:rsid w:val="007C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BC"/>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 w:type="character" w:styleId="Hyperlink">
    <w:name w:val="Hyperlink"/>
    <w:basedOn w:val="DefaultParagraphFont"/>
    <w:uiPriority w:val="99"/>
    <w:unhideWhenUsed/>
    <w:rsid w:val="00654EBC"/>
    <w:rPr>
      <w:color w:val="0563C1" w:themeColor="hyperlink"/>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OOTNOTES,fn,f"/>
    <w:basedOn w:val="Normal"/>
    <w:link w:val="FootnoteTextChar"/>
    <w:unhideWhenUsed/>
    <w:rsid w:val="00654EBC"/>
    <w:pPr>
      <w:spacing w:after="0" w:line="240" w:lineRule="auto"/>
    </w:pPr>
    <w:rPr>
      <w:sz w:val="20"/>
      <w:szCs w:val="20"/>
    </w:rPr>
  </w:style>
  <w:style w:type="character" w:customStyle="1" w:styleId="FootnoteTextChar">
    <w:name w:val="Footnote Text Char"/>
    <w:aliases w:val="ft Char1,Footnote Text Char Char Char Char Char Char Char Char Char Char Char,Footnote Text Char Char Char Char Char Char Char Char Char Char Char Char Char,Footnote Text2 Char,ft2 Char,FOOTNOTES Char,fn Char,f Char"/>
    <w:basedOn w:val="DefaultParagraphFont"/>
    <w:link w:val="FootnoteText"/>
    <w:rsid w:val="00654EBC"/>
    <w:rPr>
      <w:sz w:val="20"/>
      <w:szCs w:val="20"/>
    </w:rPr>
  </w:style>
  <w:style w:type="table" w:styleId="TableGrid">
    <w:name w:val="Table Grid"/>
    <w:basedOn w:val="TableNormal"/>
    <w:uiPriority w:val="59"/>
    <w:rsid w:val="00654E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54EBC"/>
    <w:pPr>
      <w:spacing w:line="240" w:lineRule="auto"/>
    </w:pPr>
    <w:rPr>
      <w:sz w:val="20"/>
      <w:szCs w:val="20"/>
    </w:rPr>
  </w:style>
  <w:style w:type="character" w:customStyle="1" w:styleId="CommentTextChar">
    <w:name w:val="Comment Text Char"/>
    <w:basedOn w:val="DefaultParagraphFont"/>
    <w:link w:val="CommentText"/>
    <w:uiPriority w:val="99"/>
    <w:rsid w:val="00654E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2019-04-17T20:37:00Z</dcterms:created>
  <dcterms:modified xsi:type="dcterms:W3CDTF">2019-04-17T20:37:00Z</dcterms:modified>
</cp:coreProperties>
</file>